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103B3" w14:textId="7C3AB280" w:rsidR="006F4030" w:rsidRPr="005E22FC" w:rsidRDefault="006F4030" w:rsidP="006F4030">
      <w:pPr>
        <w:widowControl w:val="0"/>
        <w:spacing w:beforeLines="100" w:before="312" w:line="440" w:lineRule="exact"/>
        <w:jc w:val="center"/>
        <w:rPr>
          <w:rFonts w:hAnsi="宋体" w:cs="Times New Roman" w:hint="eastAsia"/>
          <w:b/>
          <w:bCs/>
          <w:color w:val="FF0000"/>
          <w:kern w:val="2"/>
          <w:sz w:val="32"/>
          <w:szCs w:val="32"/>
        </w:rPr>
      </w:pPr>
      <w:r w:rsidRPr="005E22FC">
        <w:rPr>
          <w:rFonts w:hAnsi="宋体" w:cs="Times New Roman" w:hint="eastAsia"/>
          <w:b/>
          <w:bCs/>
          <w:color w:val="FF0000"/>
          <w:kern w:val="2"/>
          <w:sz w:val="32"/>
          <w:szCs w:val="32"/>
        </w:rPr>
        <w:t>北京京城机电股份有限公司</w:t>
      </w:r>
    </w:p>
    <w:p w14:paraId="2E7A15AF" w14:textId="04113814" w:rsidR="00A31516" w:rsidRPr="00CC32F9" w:rsidRDefault="00000000">
      <w:pPr>
        <w:widowControl w:val="0"/>
        <w:spacing w:beforeLines="100" w:before="312" w:afterLines="200" w:after="624" w:line="440" w:lineRule="exact"/>
        <w:jc w:val="center"/>
        <w:rPr>
          <w:rFonts w:hAnsi="宋体" w:cs="Times New Roman" w:hint="eastAsia"/>
          <w:b/>
          <w:bCs/>
          <w:kern w:val="2"/>
          <w:sz w:val="32"/>
          <w:szCs w:val="32"/>
        </w:rPr>
      </w:pPr>
      <w:r w:rsidRPr="005E22FC">
        <w:rPr>
          <w:rFonts w:hAnsi="宋体" w:cs="Times New Roman" w:hint="eastAsia"/>
          <w:b/>
          <w:bCs/>
          <w:color w:val="FF0000"/>
          <w:kern w:val="2"/>
          <w:sz w:val="32"/>
          <w:szCs w:val="32"/>
        </w:rPr>
        <w:t>董事会审计委员会2024年度履职情况报告</w:t>
      </w:r>
    </w:p>
    <w:p w14:paraId="1C9EA56E" w14:textId="77777777" w:rsidR="00A31516" w:rsidRPr="00CC32F9" w:rsidRDefault="00000000" w:rsidP="00CC32F9">
      <w:pPr>
        <w:widowControl w:val="0"/>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根据《上市公司治理准则》、《上海证券交易所上市公司自律监管指引》、《上海证券交易所股票上市规则》及《公司章程》、《董事会审计委员会工作细则》的有关规定，董事会审计委员会认真履行职责，积极开展工作。现将审计委员会2024年度履职情况报告如下：</w:t>
      </w:r>
    </w:p>
    <w:p w14:paraId="0D3D320C"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一、审计委员会基本情况</w:t>
      </w:r>
    </w:p>
    <w:p w14:paraId="7FB5BBF7" w14:textId="77777777" w:rsidR="00A31516" w:rsidRPr="00CC32F9" w:rsidRDefault="00000000" w:rsidP="00CC32F9">
      <w:pPr>
        <w:widowControl w:val="0"/>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审计委员会由独立非执行董事陈均平女士、赵旭光先生及非执行董事满会勇先生3名成员组成，其中陈均平女士为审计委员会主任委员，负责会议的召集与主持。</w:t>
      </w:r>
    </w:p>
    <w:p w14:paraId="79F8E91D"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二、审计委员会2024年度召开会议情况</w:t>
      </w:r>
    </w:p>
    <w:p w14:paraId="5D13FD70" w14:textId="77777777" w:rsidR="00A31516" w:rsidRPr="00CC32F9" w:rsidRDefault="00000000" w:rsidP="00CC32F9">
      <w:pPr>
        <w:widowControl w:val="0"/>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报告期内，审计委员会共召开12次会议，具体情况如下：</w:t>
      </w:r>
    </w:p>
    <w:p w14:paraId="62EE8DEC"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1.2024年1月9日，审计委员会召开通讯会议，审阅通过以下议案：</w:t>
      </w:r>
    </w:p>
    <w:p w14:paraId="74C78793"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w:t>
      </w:r>
      <w:r w:rsidRPr="00CC32F9">
        <w:rPr>
          <w:rFonts w:hAnsi="宋体" w:hint="eastAsia"/>
          <w:sz w:val="24"/>
        </w:rPr>
        <w:t>2023年度内控审计预审阶段审计工作情况</w:t>
      </w:r>
      <w:r w:rsidRPr="00CC32F9">
        <w:rPr>
          <w:rFonts w:hAnsi="宋体" w:cs="Times New Roman" w:hint="eastAsia"/>
          <w:kern w:val="2"/>
          <w:sz w:val="24"/>
        </w:rPr>
        <w:t>；</w:t>
      </w:r>
    </w:p>
    <w:p w14:paraId="25A90160"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w:t>
      </w:r>
      <w:r w:rsidRPr="00CC32F9">
        <w:rPr>
          <w:rFonts w:hAnsi="宋体" w:hint="eastAsia"/>
          <w:sz w:val="24"/>
        </w:rPr>
        <w:t>2023年度财务报告预审阶段审计工作情况</w:t>
      </w:r>
      <w:r w:rsidRPr="00CC32F9">
        <w:rPr>
          <w:rFonts w:hAnsi="宋体" w:cs="Times New Roman" w:hint="eastAsia"/>
          <w:kern w:val="2"/>
          <w:sz w:val="24"/>
        </w:rPr>
        <w:t>。</w:t>
      </w:r>
    </w:p>
    <w:p w14:paraId="5FA673CC"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2.2024年3月14日，审计委员会召开通讯会议，审阅通过以下议案：</w:t>
      </w:r>
    </w:p>
    <w:p w14:paraId="0FB55498"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w:t>
      </w:r>
      <w:r w:rsidRPr="00CC32F9">
        <w:rPr>
          <w:rFonts w:hAnsi="宋体" w:hint="eastAsia"/>
          <w:sz w:val="24"/>
        </w:rPr>
        <w:t>关于修订《董事会审计委员会工作细则》的议案</w:t>
      </w:r>
      <w:r w:rsidRPr="00CC32F9">
        <w:rPr>
          <w:rFonts w:hAnsi="宋体" w:cs="Times New Roman" w:hint="eastAsia"/>
          <w:kern w:val="2"/>
          <w:sz w:val="24"/>
        </w:rPr>
        <w:t>；</w:t>
      </w:r>
    </w:p>
    <w:p w14:paraId="3A7B0BE2"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w:t>
      </w:r>
      <w:r w:rsidRPr="00CC32F9">
        <w:rPr>
          <w:rFonts w:hAnsi="宋体" w:hint="eastAsia"/>
          <w:sz w:val="24"/>
        </w:rPr>
        <w:t>关于董事会审计委员会2023年度履职情况的议案</w:t>
      </w:r>
      <w:r w:rsidRPr="00CC32F9">
        <w:rPr>
          <w:rFonts w:hAnsi="宋体" w:cs="Times New Roman" w:hint="eastAsia"/>
          <w:kern w:val="2"/>
          <w:sz w:val="24"/>
        </w:rPr>
        <w:t>。</w:t>
      </w:r>
    </w:p>
    <w:p w14:paraId="1D83AD94"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3.2024年3月28日，审计委员会以现场+通讯方式召开会议，审议通过以下议案：</w:t>
      </w:r>
    </w:p>
    <w:p w14:paraId="5FA6BD63"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w:t>
      </w:r>
      <w:r w:rsidRPr="00CC32F9">
        <w:rPr>
          <w:rFonts w:hAnsi="宋体" w:hint="eastAsia"/>
          <w:sz w:val="24"/>
        </w:rPr>
        <w:t>公司2023年年度报告全文及摘要、H股业绩公告</w:t>
      </w:r>
      <w:r w:rsidRPr="00CC32F9">
        <w:rPr>
          <w:rFonts w:hAnsi="宋体" w:cs="Times New Roman" w:hint="eastAsia"/>
          <w:kern w:val="2"/>
          <w:sz w:val="24"/>
        </w:rPr>
        <w:t>；</w:t>
      </w:r>
    </w:p>
    <w:p w14:paraId="1ABC68C4"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w:t>
      </w:r>
      <w:r w:rsidRPr="00CC32F9">
        <w:rPr>
          <w:rFonts w:hAnsi="宋体" w:hint="eastAsia"/>
          <w:sz w:val="24"/>
        </w:rPr>
        <w:t>公司2023年度经审计的财务报告</w:t>
      </w:r>
      <w:r w:rsidRPr="00CC32F9">
        <w:rPr>
          <w:rFonts w:hAnsi="宋体" w:cs="Times New Roman" w:hint="eastAsia"/>
          <w:kern w:val="2"/>
          <w:sz w:val="24"/>
        </w:rPr>
        <w:t>；</w:t>
      </w:r>
    </w:p>
    <w:p w14:paraId="490BECF6"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（3）</w:t>
      </w:r>
      <w:r w:rsidRPr="00CC32F9">
        <w:rPr>
          <w:rFonts w:hAnsi="宋体" w:hint="eastAsia"/>
          <w:sz w:val="24"/>
        </w:rPr>
        <w:t>公司2023年度内部控制评价报告</w:t>
      </w:r>
      <w:r w:rsidRPr="00CC32F9">
        <w:rPr>
          <w:rFonts w:hAnsi="宋体" w:cs="Times New Roman" w:hint="eastAsia"/>
          <w:kern w:val="2"/>
          <w:sz w:val="24"/>
        </w:rPr>
        <w:t>；</w:t>
      </w:r>
    </w:p>
    <w:p w14:paraId="698E7753"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（4）</w:t>
      </w:r>
      <w:r w:rsidRPr="00CC32F9">
        <w:rPr>
          <w:rFonts w:hAnsi="宋体" w:hint="eastAsia"/>
          <w:sz w:val="24"/>
        </w:rPr>
        <w:t>公司2023年度财务报告内部控制审计报告</w:t>
      </w:r>
      <w:r w:rsidRPr="00CC32F9">
        <w:rPr>
          <w:rFonts w:hAnsi="宋体" w:cs="Times New Roman" w:hint="eastAsia"/>
          <w:kern w:val="2"/>
          <w:sz w:val="24"/>
        </w:rPr>
        <w:t>；</w:t>
      </w:r>
    </w:p>
    <w:p w14:paraId="1984A2D1"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（5）</w:t>
      </w:r>
      <w:r w:rsidRPr="00CC32F9">
        <w:rPr>
          <w:rFonts w:hAnsi="宋体" w:hint="eastAsia"/>
          <w:sz w:val="24"/>
        </w:rPr>
        <w:t>公司2023年度社会责任报告</w:t>
      </w:r>
      <w:r w:rsidRPr="00CC32F9">
        <w:rPr>
          <w:rFonts w:hAnsi="宋体" w:cs="Times New Roman" w:hint="eastAsia"/>
          <w:kern w:val="2"/>
          <w:sz w:val="24"/>
        </w:rPr>
        <w:t>；</w:t>
      </w:r>
    </w:p>
    <w:p w14:paraId="1066E27A"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（6）关于</w:t>
      </w:r>
      <w:r w:rsidRPr="00CC32F9">
        <w:rPr>
          <w:rFonts w:hAnsi="宋体" w:hint="eastAsia"/>
          <w:sz w:val="24"/>
        </w:rPr>
        <w:t>公司H股需披露的《企业管治报告》（草案），并授权董事会秘书负责</w:t>
      </w:r>
      <w:r w:rsidRPr="00CC32F9">
        <w:rPr>
          <w:rFonts w:hAnsi="宋体" w:hint="eastAsia"/>
          <w:sz w:val="24"/>
        </w:rPr>
        <w:lastRenderedPageBreak/>
        <w:t>后续审核修改《企业管治报告》的议案</w:t>
      </w:r>
      <w:r w:rsidRPr="00CC32F9">
        <w:rPr>
          <w:rFonts w:hAnsi="宋体" w:cs="Times New Roman" w:hint="eastAsia"/>
          <w:kern w:val="2"/>
          <w:sz w:val="24"/>
        </w:rPr>
        <w:t>；</w:t>
      </w:r>
    </w:p>
    <w:p w14:paraId="560B1EC9"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（7）关于</w:t>
      </w:r>
      <w:r w:rsidRPr="00CC32F9">
        <w:rPr>
          <w:rFonts w:hAnsi="宋体" w:hint="eastAsia"/>
          <w:sz w:val="24"/>
        </w:rPr>
        <w:t>公司2023年《社会、环境及管治报告》（草案），并授权董事会秘书负责后续审核修改2023年《社会、环境及管治报告》的议案</w:t>
      </w:r>
      <w:r w:rsidRPr="00CC32F9">
        <w:rPr>
          <w:rFonts w:hAnsi="宋体" w:cs="Times New Roman" w:hint="eastAsia"/>
          <w:kern w:val="2"/>
          <w:sz w:val="24"/>
        </w:rPr>
        <w:t>；</w:t>
      </w:r>
    </w:p>
    <w:p w14:paraId="03A8F544"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（8）关于</w:t>
      </w:r>
      <w:r w:rsidRPr="00CC32F9">
        <w:rPr>
          <w:rFonts w:hAnsi="宋体" w:hint="eastAsia"/>
          <w:sz w:val="24"/>
        </w:rPr>
        <w:t>董事会审计委员会2023年度履职情况的议案</w:t>
      </w:r>
      <w:r w:rsidRPr="00CC32F9">
        <w:rPr>
          <w:rFonts w:hAnsi="宋体" w:cs="Times New Roman" w:hint="eastAsia"/>
          <w:kern w:val="2"/>
          <w:sz w:val="24"/>
        </w:rPr>
        <w:t>；</w:t>
      </w:r>
    </w:p>
    <w:p w14:paraId="03D5E8EE"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（9）关于</w:t>
      </w:r>
      <w:proofErr w:type="gramStart"/>
      <w:r w:rsidRPr="00CC32F9">
        <w:rPr>
          <w:rFonts w:hAnsi="宋体" w:hint="eastAsia"/>
          <w:sz w:val="24"/>
        </w:rPr>
        <w:t>支付信永</w:t>
      </w:r>
      <w:proofErr w:type="gramEnd"/>
      <w:r w:rsidRPr="00CC32F9">
        <w:rPr>
          <w:rFonts w:hAnsi="宋体" w:hint="eastAsia"/>
          <w:sz w:val="24"/>
        </w:rPr>
        <w:t>中和会计师事务所（特殊普通合伙）2023年度审计费用的议案</w:t>
      </w:r>
      <w:r w:rsidRPr="00CC32F9">
        <w:rPr>
          <w:rFonts w:hAnsi="宋体" w:cs="Times New Roman" w:hint="eastAsia"/>
          <w:kern w:val="2"/>
          <w:sz w:val="24"/>
        </w:rPr>
        <w:t>；</w:t>
      </w:r>
    </w:p>
    <w:p w14:paraId="4055A0EB"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（10）关于</w:t>
      </w:r>
      <w:r w:rsidRPr="00CC32F9">
        <w:rPr>
          <w:rFonts w:hAnsi="宋体" w:hint="eastAsia"/>
          <w:sz w:val="24"/>
        </w:rPr>
        <w:t>支付大华会计师事务所（特殊普通合伙）2023年度审计费用的议案</w:t>
      </w:r>
      <w:r w:rsidRPr="00CC32F9">
        <w:rPr>
          <w:rFonts w:hAnsi="宋体" w:cs="Times New Roman" w:hint="eastAsia"/>
          <w:kern w:val="2"/>
          <w:sz w:val="24"/>
        </w:rPr>
        <w:t>；</w:t>
      </w:r>
    </w:p>
    <w:p w14:paraId="300B2287"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（11）</w:t>
      </w:r>
      <w:r w:rsidRPr="00CC32F9">
        <w:rPr>
          <w:rFonts w:hAnsi="宋体" w:hint="eastAsia"/>
          <w:sz w:val="24"/>
        </w:rPr>
        <w:t>关于董事会审计委员会</w:t>
      </w:r>
      <w:proofErr w:type="gramStart"/>
      <w:r w:rsidRPr="00CC32F9">
        <w:rPr>
          <w:rFonts w:hAnsi="宋体" w:hint="eastAsia"/>
          <w:sz w:val="24"/>
        </w:rPr>
        <w:t>对信永中和</w:t>
      </w:r>
      <w:proofErr w:type="gramEnd"/>
      <w:r w:rsidRPr="00CC32F9">
        <w:rPr>
          <w:rFonts w:hAnsi="宋体" w:hint="eastAsia"/>
          <w:sz w:val="24"/>
        </w:rPr>
        <w:t>会计师事务所(特殊普通合伙)、大华会计师事务所(特殊普通合伙)履行监督职责情况的报告的议案</w:t>
      </w:r>
      <w:r w:rsidRPr="00CC32F9">
        <w:rPr>
          <w:rFonts w:hAnsi="宋体" w:cs="Times New Roman" w:hint="eastAsia"/>
          <w:kern w:val="2"/>
          <w:sz w:val="24"/>
        </w:rPr>
        <w:t>；</w:t>
      </w:r>
    </w:p>
    <w:p w14:paraId="36384FA3"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（12）关于</w:t>
      </w:r>
      <w:r w:rsidRPr="00CC32F9">
        <w:rPr>
          <w:rFonts w:hAnsi="宋体" w:hint="eastAsia"/>
          <w:sz w:val="24"/>
        </w:rPr>
        <w:t>公司</w:t>
      </w:r>
      <w:proofErr w:type="gramStart"/>
      <w:r w:rsidRPr="00CC32F9">
        <w:rPr>
          <w:rFonts w:hAnsi="宋体" w:hint="eastAsia"/>
          <w:sz w:val="24"/>
        </w:rPr>
        <w:t>对信永中和</w:t>
      </w:r>
      <w:proofErr w:type="gramEnd"/>
      <w:r w:rsidRPr="00CC32F9">
        <w:rPr>
          <w:rFonts w:hAnsi="宋体" w:hint="eastAsia"/>
          <w:sz w:val="24"/>
        </w:rPr>
        <w:t>会计师事务所（特殊普通合伙）、大华会计师事务所（特殊普通合伙）履职情况评估报告的议案</w:t>
      </w:r>
      <w:r w:rsidRPr="00CC32F9">
        <w:rPr>
          <w:rFonts w:hAnsi="宋体" w:cs="Times New Roman" w:hint="eastAsia"/>
          <w:kern w:val="2"/>
          <w:sz w:val="24"/>
        </w:rPr>
        <w:t>；</w:t>
      </w:r>
    </w:p>
    <w:p w14:paraId="2953FBB4"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（13）</w:t>
      </w:r>
      <w:r w:rsidRPr="00CC32F9">
        <w:rPr>
          <w:rFonts w:hAnsi="宋体" w:hint="eastAsia"/>
          <w:sz w:val="24"/>
        </w:rPr>
        <w:t>公司2024年度审计计划的议案</w:t>
      </w:r>
      <w:r w:rsidRPr="00CC32F9">
        <w:rPr>
          <w:rFonts w:hAnsi="宋体" w:cs="Times New Roman" w:hint="eastAsia"/>
          <w:kern w:val="2"/>
          <w:sz w:val="24"/>
        </w:rPr>
        <w:t>；</w:t>
      </w:r>
    </w:p>
    <w:p w14:paraId="15EBF9EA"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（14）</w:t>
      </w:r>
      <w:r w:rsidRPr="00CC32F9">
        <w:rPr>
          <w:rFonts w:hAnsi="宋体" w:hint="eastAsia"/>
          <w:sz w:val="24"/>
        </w:rPr>
        <w:t>公司2024年度内部控制评价方案</w:t>
      </w:r>
      <w:r w:rsidRPr="00CC32F9">
        <w:rPr>
          <w:rFonts w:hAnsi="宋体" w:cs="Times New Roman" w:hint="eastAsia"/>
          <w:kern w:val="2"/>
          <w:sz w:val="24"/>
        </w:rPr>
        <w:t>；</w:t>
      </w:r>
    </w:p>
    <w:p w14:paraId="18DF5177"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（15）</w:t>
      </w:r>
      <w:r w:rsidRPr="00CC32F9">
        <w:rPr>
          <w:rFonts w:hAnsi="宋体" w:hint="eastAsia"/>
          <w:sz w:val="24"/>
        </w:rPr>
        <w:t>关于公司2023年年度募集资金存放与使用情况内部审计报告的议案</w:t>
      </w:r>
      <w:r w:rsidRPr="00CC32F9">
        <w:rPr>
          <w:rFonts w:hAnsi="宋体" w:cs="Times New Roman" w:hint="eastAsia"/>
          <w:kern w:val="2"/>
          <w:sz w:val="24"/>
        </w:rPr>
        <w:t>；</w:t>
      </w:r>
    </w:p>
    <w:p w14:paraId="4A44F256"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（16）</w:t>
      </w:r>
      <w:r w:rsidRPr="00CC32F9">
        <w:rPr>
          <w:rFonts w:hAnsi="宋体" w:hint="eastAsia"/>
          <w:sz w:val="24"/>
        </w:rPr>
        <w:t>关于公司2023年度募集资金存放与使用情况的专项报告的议案</w:t>
      </w:r>
      <w:r w:rsidRPr="00CC32F9">
        <w:rPr>
          <w:rFonts w:hAnsi="宋体" w:cs="Times New Roman" w:hint="eastAsia"/>
          <w:kern w:val="2"/>
          <w:sz w:val="24"/>
        </w:rPr>
        <w:t>；</w:t>
      </w:r>
    </w:p>
    <w:p w14:paraId="5211983F"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（17）关于</w:t>
      </w:r>
      <w:r w:rsidRPr="00CC32F9">
        <w:rPr>
          <w:rFonts w:hAnsi="宋体" w:hint="eastAsia"/>
          <w:sz w:val="24"/>
        </w:rPr>
        <w:t>公司2023年度不进行利润分配的预案</w:t>
      </w:r>
      <w:r w:rsidRPr="00CC32F9">
        <w:rPr>
          <w:rFonts w:hAnsi="宋体" w:cs="Times New Roman" w:hint="eastAsia"/>
          <w:kern w:val="2"/>
          <w:sz w:val="24"/>
        </w:rPr>
        <w:t>；</w:t>
      </w:r>
    </w:p>
    <w:p w14:paraId="080A7BE9"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（18）关于</w:t>
      </w:r>
      <w:r w:rsidRPr="00CC32F9">
        <w:rPr>
          <w:rFonts w:hAnsi="宋体" w:hint="eastAsia"/>
          <w:sz w:val="24"/>
        </w:rPr>
        <w:t>公司2023年度计提减值准备的议案</w:t>
      </w:r>
      <w:r w:rsidRPr="00CC32F9">
        <w:rPr>
          <w:rFonts w:hAnsi="宋体" w:cs="Times New Roman" w:hint="eastAsia"/>
          <w:kern w:val="2"/>
          <w:sz w:val="24"/>
        </w:rPr>
        <w:t>；</w:t>
      </w:r>
    </w:p>
    <w:p w14:paraId="15405704"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（19）关于</w:t>
      </w:r>
      <w:r w:rsidRPr="00CC32F9">
        <w:rPr>
          <w:rFonts w:hAnsi="宋体" w:hint="eastAsia"/>
          <w:sz w:val="24"/>
        </w:rPr>
        <w:t>公司2024年度融资担保计划的议案</w:t>
      </w:r>
      <w:r w:rsidRPr="00CC32F9">
        <w:rPr>
          <w:rFonts w:hAnsi="宋体" w:cs="Times New Roman" w:hint="eastAsia"/>
          <w:kern w:val="2"/>
          <w:sz w:val="24"/>
        </w:rPr>
        <w:t>；</w:t>
      </w:r>
    </w:p>
    <w:p w14:paraId="6056DEDC"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（20）</w:t>
      </w:r>
      <w:r w:rsidRPr="00CC32F9">
        <w:rPr>
          <w:rFonts w:hAnsi="宋体" w:hint="eastAsia"/>
          <w:sz w:val="24"/>
        </w:rPr>
        <w:t>关于青岛北洋天青数联智能有限公司2023年度业绩承诺完成的议案</w:t>
      </w:r>
      <w:r w:rsidRPr="00CC32F9">
        <w:rPr>
          <w:rFonts w:hAnsi="宋体" w:cs="Times New Roman" w:hint="eastAsia"/>
          <w:kern w:val="2"/>
          <w:sz w:val="24"/>
        </w:rPr>
        <w:t>；</w:t>
      </w:r>
    </w:p>
    <w:p w14:paraId="7FB096C7"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（21）关于</w:t>
      </w:r>
      <w:r w:rsidRPr="00CC32F9">
        <w:rPr>
          <w:rFonts w:hAnsi="宋体" w:hint="eastAsia"/>
          <w:sz w:val="24"/>
        </w:rPr>
        <w:t>会计政策变更的议案</w:t>
      </w:r>
      <w:r w:rsidRPr="00CC32F9">
        <w:rPr>
          <w:rFonts w:hAnsi="宋体" w:cs="Times New Roman" w:hint="eastAsia"/>
          <w:kern w:val="2"/>
          <w:sz w:val="24"/>
        </w:rPr>
        <w:t>；</w:t>
      </w:r>
    </w:p>
    <w:p w14:paraId="34954FF9"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（22）关于</w:t>
      </w:r>
      <w:r w:rsidRPr="00CC32F9">
        <w:rPr>
          <w:rFonts w:hAnsi="宋体" w:hint="eastAsia"/>
          <w:sz w:val="24"/>
        </w:rPr>
        <w:t>公司2024年度经营计划</w:t>
      </w:r>
      <w:r w:rsidRPr="00CC32F9">
        <w:rPr>
          <w:rFonts w:hAnsi="宋体" w:cs="Times New Roman" w:hint="eastAsia"/>
          <w:kern w:val="2"/>
          <w:sz w:val="24"/>
        </w:rPr>
        <w:t>；</w:t>
      </w:r>
    </w:p>
    <w:p w14:paraId="5F29CAB6"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（23）关于</w:t>
      </w:r>
      <w:r w:rsidRPr="00CC32F9">
        <w:rPr>
          <w:rFonts w:hAnsi="宋体" w:hint="eastAsia"/>
          <w:sz w:val="24"/>
        </w:rPr>
        <w:t>公司2024年度研发计划</w:t>
      </w:r>
      <w:r w:rsidRPr="00CC32F9">
        <w:rPr>
          <w:rFonts w:hAnsi="宋体" w:cs="Times New Roman" w:hint="eastAsia"/>
          <w:kern w:val="2"/>
          <w:sz w:val="24"/>
        </w:rPr>
        <w:t>；</w:t>
      </w:r>
    </w:p>
    <w:p w14:paraId="61529E5A"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（24）关于</w:t>
      </w:r>
      <w:r w:rsidRPr="00CC32F9">
        <w:rPr>
          <w:rFonts w:hAnsi="宋体" w:hint="eastAsia"/>
          <w:sz w:val="24"/>
        </w:rPr>
        <w:t>提交公司2023年度股东周年大会批准授权董事会在不超过已发行H股股本总面值的20%发行H股新股的议案</w:t>
      </w:r>
      <w:r w:rsidRPr="00CC32F9">
        <w:rPr>
          <w:rFonts w:hAnsi="宋体" w:cs="Times New Roman" w:hint="eastAsia"/>
          <w:kern w:val="2"/>
          <w:sz w:val="24"/>
        </w:rPr>
        <w:t>。</w:t>
      </w:r>
    </w:p>
    <w:p w14:paraId="3991D4A9"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4.2024年4月29日，审计委员会召开通讯会议，审议通过关于公司2024年第一季度报告的议案。</w:t>
      </w:r>
    </w:p>
    <w:p w14:paraId="2A983BCD"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5.2024年5月14日，审计委员会召开通讯会议，审议通过关于选聘2024年度财务</w:t>
      </w:r>
      <w:r w:rsidRPr="00CC32F9">
        <w:rPr>
          <w:rFonts w:hAnsi="宋体" w:cs="Times New Roman" w:hint="eastAsia"/>
          <w:kern w:val="2"/>
          <w:sz w:val="24"/>
        </w:rPr>
        <w:lastRenderedPageBreak/>
        <w:t>报表审计及内部控制审计项目审计机构的议案。</w:t>
      </w:r>
    </w:p>
    <w:p w14:paraId="2D3AEA3C"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6.2024年5月28日，审计委员会以现场+通讯方式召开会议，审议通过</w:t>
      </w:r>
      <w:r w:rsidRPr="00CC32F9">
        <w:rPr>
          <w:rFonts w:hAnsi="宋体" w:hint="eastAsia"/>
          <w:sz w:val="24"/>
        </w:rPr>
        <w:t>关于控股股东全资子公司先行投资</w:t>
      </w:r>
      <w:proofErr w:type="gramStart"/>
      <w:r w:rsidRPr="00CC32F9">
        <w:rPr>
          <w:rFonts w:hAnsi="宋体" w:hint="eastAsia"/>
          <w:sz w:val="24"/>
        </w:rPr>
        <w:t>上海舜华的</w:t>
      </w:r>
      <w:proofErr w:type="gramEnd"/>
      <w:r w:rsidRPr="00CC32F9">
        <w:rPr>
          <w:rFonts w:hAnsi="宋体" w:hint="eastAsia"/>
          <w:sz w:val="24"/>
        </w:rPr>
        <w:t>议案</w:t>
      </w:r>
      <w:r w:rsidRPr="00CC32F9">
        <w:rPr>
          <w:rFonts w:hAnsi="宋体" w:cs="Times New Roman" w:hint="eastAsia"/>
          <w:kern w:val="2"/>
          <w:sz w:val="24"/>
        </w:rPr>
        <w:t>。</w:t>
      </w:r>
    </w:p>
    <w:p w14:paraId="4838D391"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7.2024年6月28日，审计委员会以现场+通讯方式召开会议，审议通过关</w:t>
      </w:r>
      <w:r w:rsidRPr="00CC32F9">
        <w:rPr>
          <w:rFonts w:hAnsi="宋体" w:hint="eastAsia"/>
          <w:sz w:val="24"/>
        </w:rPr>
        <w:t>于更换第十一届董事会审计委员会及薪酬与考核委员会相关成员的议案</w:t>
      </w:r>
      <w:r w:rsidRPr="00CC32F9">
        <w:rPr>
          <w:rFonts w:hAnsi="宋体" w:cs="Times New Roman" w:hint="eastAsia"/>
          <w:kern w:val="2"/>
          <w:sz w:val="24"/>
        </w:rPr>
        <w:t>。</w:t>
      </w:r>
    </w:p>
    <w:p w14:paraId="47193E5D"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8.2024年8月16日，审计委员会以现场+通讯方式召开会议，审议通过以下议案：</w:t>
      </w:r>
    </w:p>
    <w:p w14:paraId="2E7A43B6"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w:t>
      </w:r>
      <w:r w:rsidRPr="00CC32F9">
        <w:rPr>
          <w:rFonts w:hAnsi="宋体" w:hint="eastAsia"/>
          <w:sz w:val="24"/>
        </w:rPr>
        <w:t>关于公司2024年A</w:t>
      </w:r>
      <w:proofErr w:type="gramStart"/>
      <w:r w:rsidRPr="00CC32F9">
        <w:rPr>
          <w:rFonts w:hAnsi="宋体" w:hint="eastAsia"/>
          <w:sz w:val="24"/>
        </w:rPr>
        <w:t>股半年报</w:t>
      </w:r>
      <w:proofErr w:type="gramEnd"/>
      <w:r w:rsidRPr="00CC32F9">
        <w:rPr>
          <w:rFonts w:hAnsi="宋体" w:hint="eastAsia"/>
          <w:sz w:val="24"/>
        </w:rPr>
        <w:t>全文及摘要、H股业绩公告的议案</w:t>
      </w:r>
      <w:r w:rsidRPr="00CC32F9">
        <w:rPr>
          <w:rFonts w:hAnsi="宋体" w:cs="Times New Roman" w:hint="eastAsia"/>
          <w:kern w:val="2"/>
          <w:sz w:val="24"/>
        </w:rPr>
        <w:t>；</w:t>
      </w:r>
    </w:p>
    <w:p w14:paraId="2384735D"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w:t>
      </w:r>
      <w:r w:rsidRPr="00CC32F9">
        <w:rPr>
          <w:rFonts w:hAnsi="宋体" w:hint="eastAsia"/>
          <w:sz w:val="24"/>
        </w:rPr>
        <w:t>关于2024年中期计提减值准备的议案</w:t>
      </w:r>
      <w:r w:rsidRPr="00CC32F9">
        <w:rPr>
          <w:rFonts w:hAnsi="宋体" w:cs="Times New Roman" w:hint="eastAsia"/>
          <w:kern w:val="2"/>
          <w:sz w:val="24"/>
        </w:rPr>
        <w:t>；</w:t>
      </w:r>
    </w:p>
    <w:p w14:paraId="2B4A6CE3" w14:textId="77777777" w:rsidR="00A31516" w:rsidRPr="00CC32F9" w:rsidRDefault="00000000" w:rsidP="00CC32F9">
      <w:pPr>
        <w:widowControl w:val="0"/>
        <w:tabs>
          <w:tab w:val="left" w:pos="1080"/>
        </w:tabs>
        <w:spacing w:line="500" w:lineRule="exact"/>
        <w:ind w:leftChars="200" w:left="420" w:firstLine="200"/>
        <w:jc w:val="both"/>
        <w:rPr>
          <w:rFonts w:hAnsi="宋体" w:cs="Times New Roman" w:hint="eastAsia"/>
          <w:kern w:val="2"/>
          <w:sz w:val="24"/>
        </w:rPr>
      </w:pPr>
      <w:r w:rsidRPr="00CC32F9">
        <w:rPr>
          <w:rFonts w:hAnsi="宋体" w:cs="Times New Roman" w:hint="eastAsia"/>
          <w:kern w:val="2"/>
          <w:sz w:val="24"/>
        </w:rPr>
        <w:t>（3）</w:t>
      </w:r>
      <w:r w:rsidRPr="00CC32F9">
        <w:rPr>
          <w:rFonts w:hAnsi="宋体" w:hint="eastAsia"/>
          <w:sz w:val="24"/>
        </w:rPr>
        <w:t>关于北京京城机电股份有限公司2024年半年度募集资金存放与使用情况的专项报告的议案</w:t>
      </w:r>
      <w:r w:rsidRPr="00CC32F9">
        <w:rPr>
          <w:rFonts w:hAnsi="宋体" w:cs="Times New Roman" w:hint="eastAsia"/>
          <w:kern w:val="2"/>
          <w:sz w:val="24"/>
        </w:rPr>
        <w:t>；</w:t>
      </w:r>
    </w:p>
    <w:p w14:paraId="613FF97C" w14:textId="77777777" w:rsidR="00A31516" w:rsidRPr="00CC32F9" w:rsidRDefault="00000000" w:rsidP="00CC32F9">
      <w:pPr>
        <w:widowControl w:val="0"/>
        <w:tabs>
          <w:tab w:val="left" w:pos="1080"/>
        </w:tabs>
        <w:spacing w:line="500" w:lineRule="exact"/>
        <w:ind w:leftChars="200" w:left="420" w:firstLine="200"/>
        <w:jc w:val="both"/>
        <w:rPr>
          <w:rFonts w:hAnsi="宋体" w:hint="eastAsia"/>
          <w:sz w:val="24"/>
        </w:rPr>
      </w:pPr>
      <w:r w:rsidRPr="00CC32F9">
        <w:rPr>
          <w:rFonts w:hAnsi="宋体" w:cs="Times New Roman" w:hint="eastAsia"/>
          <w:kern w:val="2"/>
          <w:sz w:val="24"/>
        </w:rPr>
        <w:t>（4）</w:t>
      </w:r>
      <w:r w:rsidRPr="00CC32F9">
        <w:rPr>
          <w:rFonts w:hAnsi="宋体" w:hint="eastAsia"/>
          <w:sz w:val="24"/>
        </w:rPr>
        <w:t>关于《公司2024年半年度募集资金存放与使用情况内部审计报告》的议案；</w:t>
      </w:r>
    </w:p>
    <w:p w14:paraId="6E52ECA6" w14:textId="77777777" w:rsidR="00A31516" w:rsidRPr="00CC32F9" w:rsidRDefault="00000000" w:rsidP="00CC32F9">
      <w:pPr>
        <w:widowControl w:val="0"/>
        <w:tabs>
          <w:tab w:val="left" w:pos="1080"/>
        </w:tabs>
        <w:spacing w:line="500" w:lineRule="exact"/>
        <w:ind w:leftChars="200" w:left="420" w:firstLine="200"/>
        <w:jc w:val="both"/>
        <w:rPr>
          <w:rFonts w:hAnsi="宋体" w:hint="eastAsia"/>
          <w:sz w:val="24"/>
        </w:rPr>
      </w:pPr>
      <w:r w:rsidRPr="00CC32F9">
        <w:rPr>
          <w:rFonts w:hAnsi="宋体" w:hint="eastAsia"/>
          <w:sz w:val="24"/>
        </w:rPr>
        <w:t>（5）关于京城股份子公司与公司控股股东附属公司相关关联交易的议案；</w:t>
      </w:r>
    </w:p>
    <w:p w14:paraId="7E4D9E01" w14:textId="77777777" w:rsidR="00A31516" w:rsidRPr="00CC32F9" w:rsidRDefault="00000000" w:rsidP="00CC32F9">
      <w:pPr>
        <w:widowControl w:val="0"/>
        <w:tabs>
          <w:tab w:val="left" w:pos="1080"/>
        </w:tabs>
        <w:spacing w:line="500" w:lineRule="exact"/>
        <w:ind w:leftChars="200" w:left="420" w:firstLine="200"/>
        <w:jc w:val="both"/>
        <w:rPr>
          <w:rFonts w:hAnsi="宋体" w:cs="Times New Roman" w:hint="eastAsia"/>
          <w:kern w:val="2"/>
          <w:sz w:val="24"/>
        </w:rPr>
      </w:pPr>
      <w:r w:rsidRPr="00CC32F9">
        <w:rPr>
          <w:rFonts w:hAnsi="宋体" w:hint="eastAsia"/>
          <w:sz w:val="24"/>
        </w:rPr>
        <w:t>（6）关于北京天海工业有限公司与</w:t>
      </w:r>
      <w:proofErr w:type="gramStart"/>
      <w:r w:rsidRPr="00CC32F9">
        <w:rPr>
          <w:rFonts w:hAnsi="宋体" w:hint="eastAsia"/>
          <w:sz w:val="24"/>
        </w:rPr>
        <w:t>上海舜华新能源</w:t>
      </w:r>
      <w:proofErr w:type="gramEnd"/>
      <w:r w:rsidRPr="00CC32F9">
        <w:rPr>
          <w:rFonts w:hAnsi="宋体" w:hint="eastAsia"/>
          <w:sz w:val="24"/>
        </w:rPr>
        <w:t>系统有限公司签订产品购销框架合同暨关联交易的议案</w:t>
      </w:r>
      <w:r w:rsidRPr="00CC32F9">
        <w:rPr>
          <w:rFonts w:hAnsi="宋体" w:cs="Times New Roman" w:hint="eastAsia"/>
          <w:kern w:val="2"/>
          <w:sz w:val="24"/>
        </w:rPr>
        <w:t>。</w:t>
      </w:r>
    </w:p>
    <w:p w14:paraId="02B37664" w14:textId="77777777" w:rsidR="00A31516" w:rsidRPr="00CC32F9" w:rsidRDefault="00000000" w:rsidP="00CC32F9">
      <w:pPr>
        <w:widowControl w:val="0"/>
        <w:tabs>
          <w:tab w:val="left" w:pos="1080"/>
        </w:tabs>
        <w:spacing w:line="500" w:lineRule="exact"/>
        <w:ind w:leftChars="200" w:left="420" w:firstLine="200"/>
        <w:jc w:val="both"/>
        <w:rPr>
          <w:rFonts w:hAnsi="宋体" w:cs="Times New Roman" w:hint="eastAsia"/>
          <w:kern w:val="2"/>
          <w:sz w:val="24"/>
        </w:rPr>
      </w:pPr>
      <w:r w:rsidRPr="00CC32F9">
        <w:rPr>
          <w:rFonts w:hAnsi="宋体" w:cs="Times New Roman" w:hint="eastAsia"/>
          <w:kern w:val="2"/>
          <w:sz w:val="24"/>
        </w:rPr>
        <w:t>9.2024年9月26日，审计委员会召开通讯会议，审议通过以下议案：</w:t>
      </w:r>
    </w:p>
    <w:p w14:paraId="39D18EB4"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w:t>
      </w:r>
      <w:r w:rsidRPr="00CC32F9">
        <w:rPr>
          <w:rFonts w:hAnsi="宋体"/>
          <w:sz w:val="24"/>
        </w:rPr>
        <w:t>202</w:t>
      </w:r>
      <w:r w:rsidRPr="00CC32F9">
        <w:rPr>
          <w:rFonts w:hAnsi="宋体" w:hint="eastAsia"/>
          <w:sz w:val="24"/>
        </w:rPr>
        <w:t>4</w:t>
      </w:r>
      <w:r w:rsidRPr="00CC32F9">
        <w:rPr>
          <w:rFonts w:hAnsi="宋体"/>
          <w:sz w:val="24"/>
        </w:rPr>
        <w:t>年度财务报告审计工作计划</w:t>
      </w:r>
      <w:r w:rsidRPr="00CC32F9">
        <w:rPr>
          <w:rFonts w:hAnsi="宋体" w:cs="Times New Roman" w:hint="eastAsia"/>
          <w:kern w:val="2"/>
          <w:sz w:val="24"/>
        </w:rPr>
        <w:t>；</w:t>
      </w:r>
    </w:p>
    <w:p w14:paraId="375C67F6" w14:textId="77777777" w:rsidR="00A31516" w:rsidRPr="00CC32F9" w:rsidRDefault="00000000" w:rsidP="00CC32F9">
      <w:pPr>
        <w:widowControl w:val="0"/>
        <w:tabs>
          <w:tab w:val="left" w:pos="1080"/>
        </w:tabs>
        <w:spacing w:line="500" w:lineRule="exact"/>
        <w:ind w:firstLineChars="200" w:firstLine="480"/>
        <w:jc w:val="both"/>
        <w:rPr>
          <w:rFonts w:hAnsi="宋体" w:hint="eastAsia"/>
          <w:sz w:val="24"/>
        </w:rPr>
      </w:pPr>
      <w:r w:rsidRPr="00CC32F9">
        <w:rPr>
          <w:rFonts w:hAnsi="宋体" w:cs="Times New Roman" w:hint="eastAsia"/>
          <w:kern w:val="2"/>
          <w:sz w:val="24"/>
        </w:rPr>
        <w:t>（2）</w:t>
      </w:r>
      <w:r w:rsidRPr="00CC32F9">
        <w:rPr>
          <w:rFonts w:hAnsi="宋体" w:hint="eastAsia"/>
          <w:color w:val="000000"/>
          <w:kern w:val="2"/>
          <w:sz w:val="24"/>
        </w:rPr>
        <w:t>2024年度财务报告内部控制</w:t>
      </w:r>
      <w:r w:rsidRPr="00CC32F9">
        <w:rPr>
          <w:rFonts w:hAnsi="宋体"/>
          <w:sz w:val="24"/>
        </w:rPr>
        <w:t>审计工作计划</w:t>
      </w:r>
      <w:r w:rsidRPr="00CC32F9">
        <w:rPr>
          <w:rFonts w:hAnsi="宋体" w:hint="eastAsia"/>
          <w:sz w:val="24"/>
        </w:rPr>
        <w:t>；</w:t>
      </w:r>
    </w:p>
    <w:p w14:paraId="6F0D074E"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hint="eastAsia"/>
          <w:sz w:val="24"/>
        </w:rPr>
        <w:t>（3）2024年上半年募集资金使用等情况检查报告</w:t>
      </w:r>
      <w:r w:rsidRPr="00CC32F9">
        <w:rPr>
          <w:rFonts w:hAnsi="宋体" w:cs="Times New Roman" w:hint="eastAsia"/>
          <w:kern w:val="2"/>
          <w:sz w:val="24"/>
        </w:rPr>
        <w:t>。</w:t>
      </w:r>
    </w:p>
    <w:p w14:paraId="61DE2B5A"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10.2024年10月30日，审计委员会召开通讯会议，审议通过以下议案：</w:t>
      </w:r>
    </w:p>
    <w:p w14:paraId="23320AD1"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（1）关于公司《2024年第三季度报告》的议案；</w:t>
      </w:r>
    </w:p>
    <w:p w14:paraId="51D5B5B6"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（2）关于2024年度“提质增效重回报”行动方案的议案。</w:t>
      </w:r>
    </w:p>
    <w:p w14:paraId="0EA8F364"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11.2024年12月6日，审计委员会召开通讯会议，审议通过关于北京天海工业有限公司与</w:t>
      </w:r>
      <w:proofErr w:type="gramStart"/>
      <w:r w:rsidRPr="00CC32F9">
        <w:rPr>
          <w:rFonts w:hAnsi="宋体" w:cs="Times New Roman" w:hint="eastAsia"/>
          <w:kern w:val="2"/>
          <w:sz w:val="24"/>
        </w:rPr>
        <w:t>上海舜华新能源</w:t>
      </w:r>
      <w:proofErr w:type="gramEnd"/>
      <w:r w:rsidRPr="00CC32F9">
        <w:rPr>
          <w:rFonts w:hAnsi="宋体" w:cs="Times New Roman" w:hint="eastAsia"/>
          <w:kern w:val="2"/>
          <w:sz w:val="24"/>
        </w:rPr>
        <w:t>系统有限公司签订产品购销框架合同暨关联交易的议案。</w:t>
      </w:r>
    </w:p>
    <w:p w14:paraId="028E08DE"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10.2024年12月30日，审计委员会召开通讯会议，审议通过关于提前终止亦创园区房屋租赁及物业服务的关联交易协议的议案。</w:t>
      </w:r>
    </w:p>
    <w:p w14:paraId="1DF6CF58"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三、审计委员会2024年度主要工作情况</w:t>
      </w:r>
    </w:p>
    <w:p w14:paraId="207D1A45"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lastRenderedPageBreak/>
        <w:t>（一）监督及评估外部审计机构工作</w:t>
      </w:r>
    </w:p>
    <w:p w14:paraId="7A65957D"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1.评估外部审计机构的独立性和专业性。大信会计师事务所自聘任以来，能较好地完成公司委托的工作并一致遵循独立、客观、公正的职业准则。</w:t>
      </w:r>
    </w:p>
    <w:p w14:paraId="2624E71B"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2.向董事会提出聘请外部审计机构的建议。经审计委员审议表决后，向公司董事会提议2024年度选聘大信会计师事务所作为外部审计单位。</w:t>
      </w:r>
    </w:p>
    <w:p w14:paraId="70C2B2AC"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2024年5月14日，审计委员会审议通过</w:t>
      </w:r>
      <w:r w:rsidRPr="00CC32F9">
        <w:rPr>
          <w:rFonts w:hAnsi="宋体" w:hint="eastAsia"/>
          <w:sz w:val="24"/>
        </w:rPr>
        <w:t>聘请大信会计师事务所（特殊普通合伙）作为2024年度财务报表审计及内部控制审计项目的审计机构</w:t>
      </w:r>
      <w:r w:rsidRPr="00CC32F9">
        <w:rPr>
          <w:rFonts w:hAnsi="宋体" w:cs="Times New Roman" w:hint="eastAsia"/>
          <w:kern w:val="2"/>
          <w:sz w:val="24"/>
        </w:rPr>
        <w:t>的议案。</w:t>
      </w:r>
    </w:p>
    <w:p w14:paraId="784D75B4"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3.审核外部审计机构的审计费用。经审核，公司实际</w:t>
      </w:r>
      <w:proofErr w:type="gramStart"/>
      <w:r w:rsidRPr="00CC32F9">
        <w:rPr>
          <w:rFonts w:hAnsi="宋体" w:cs="Times New Roman" w:hint="eastAsia"/>
          <w:kern w:val="2"/>
          <w:sz w:val="24"/>
        </w:rPr>
        <w:t>支付信</w:t>
      </w:r>
      <w:proofErr w:type="gramEnd"/>
      <w:r w:rsidRPr="00CC32F9">
        <w:rPr>
          <w:rFonts w:hAnsi="宋体" w:hint="eastAsia"/>
          <w:sz w:val="24"/>
        </w:rPr>
        <w:t>大信会计师事务所</w:t>
      </w:r>
      <w:r w:rsidRPr="00CC32F9">
        <w:rPr>
          <w:rFonts w:hAnsi="宋体" w:cs="Times New Roman" w:hint="eastAsia"/>
          <w:kern w:val="2"/>
          <w:sz w:val="24"/>
        </w:rPr>
        <w:t>2024年度审计费用，与公司所披露的审计费用相符。</w:t>
      </w:r>
    </w:p>
    <w:p w14:paraId="4EA97918"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4.与外部审计机构的讨论和沟通。报告期内，审计委员会与</w:t>
      </w:r>
      <w:r w:rsidRPr="00CC32F9">
        <w:rPr>
          <w:rFonts w:hAnsi="宋体" w:hint="eastAsia"/>
          <w:sz w:val="24"/>
        </w:rPr>
        <w:t>大信会计师事务所</w:t>
      </w:r>
      <w:r w:rsidRPr="00CC32F9">
        <w:rPr>
          <w:rFonts w:hAnsi="宋体" w:cs="Times New Roman" w:hint="eastAsia"/>
          <w:kern w:val="2"/>
          <w:sz w:val="24"/>
        </w:rPr>
        <w:t>就审计范围、审计计划、审计方法等事项，进行了充分讨论与沟通。</w:t>
      </w:r>
    </w:p>
    <w:p w14:paraId="56976D8D"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5.监督和评估外部审计机构是否勤勉尽责。审计委员会认为</w:t>
      </w:r>
      <w:r w:rsidRPr="00CC32F9">
        <w:rPr>
          <w:rFonts w:hAnsi="宋体" w:hint="eastAsia"/>
          <w:sz w:val="24"/>
        </w:rPr>
        <w:t>大信会计师事务所</w:t>
      </w:r>
      <w:r w:rsidRPr="00CC32F9">
        <w:rPr>
          <w:rFonts w:hAnsi="宋体" w:cs="Times New Roman" w:hint="eastAsia"/>
          <w:kern w:val="2"/>
          <w:sz w:val="24"/>
        </w:rPr>
        <w:t>审计期间勤勉尽责，遵循了独立、客观、公正的职业准则。</w:t>
      </w:r>
    </w:p>
    <w:p w14:paraId="0A52A047"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（二）指导内部审计工作</w:t>
      </w:r>
    </w:p>
    <w:p w14:paraId="1EDB8668"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报告期内，审计委员会认真审阅了内部审计计划，认可该计划的可行性，并督促内部审计机构严格按照计划执行。同时对内部审计工作提出了指导性意见。经审阅内部审计报告，审计委员会未发现内部审计工作存在重大问题的情况。</w:t>
      </w:r>
    </w:p>
    <w:p w14:paraId="66C0099D"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（三）审阅上市公司财务报告并对其发表意见</w:t>
      </w:r>
    </w:p>
    <w:p w14:paraId="703DB0F6"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报告期内，审计委员会认真审阅了公司财务报告，认为财务报告是真实、完整和准确的，不存在相关欺诈、舞弊行为及重大错报情况，且不存在重大会计差错调整、重大会计政策及估计变更、涉及重要会计判断的事项、导致非标准无保留意见审计报告的事项。</w:t>
      </w:r>
    </w:p>
    <w:p w14:paraId="09BAC0E9"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（四）评估内部控制的有效性</w:t>
      </w:r>
    </w:p>
    <w:p w14:paraId="5C8761B7"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公司按照《公司法》《证券法》等法律法规和中国证监会、证券交易所有关规定，建立了较为完善的公司治理结构和治理制度。报告期内，公司严格执行各项法律、法规、规章、公司章程以及内部管理制度，股东大会、董事会、监事会、经营层规范运作，切</w:t>
      </w:r>
      <w:r w:rsidRPr="00CC32F9">
        <w:rPr>
          <w:rFonts w:hAnsi="宋体" w:cs="Times New Roman" w:hint="eastAsia"/>
          <w:kern w:val="2"/>
          <w:sz w:val="24"/>
        </w:rPr>
        <w:lastRenderedPageBreak/>
        <w:t>实保障了公司和股东的合法权益。审计委员会认为公司内部控制运作情况符合有关上市公司治理规范的要求。</w:t>
      </w:r>
    </w:p>
    <w:p w14:paraId="50BC96BA"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四、总体评价</w:t>
      </w:r>
    </w:p>
    <w:p w14:paraId="6DEF30F7" w14:textId="77777777" w:rsidR="00A31516" w:rsidRPr="00CC32F9" w:rsidRDefault="00000000" w:rsidP="00CC32F9">
      <w:pPr>
        <w:widowControl w:val="0"/>
        <w:tabs>
          <w:tab w:val="left" w:pos="1080"/>
        </w:tabs>
        <w:spacing w:line="500" w:lineRule="exact"/>
        <w:ind w:firstLineChars="200" w:firstLine="480"/>
        <w:jc w:val="both"/>
        <w:rPr>
          <w:rFonts w:hAnsi="宋体" w:cs="Times New Roman" w:hint="eastAsia"/>
          <w:kern w:val="2"/>
          <w:sz w:val="24"/>
        </w:rPr>
      </w:pPr>
      <w:r w:rsidRPr="00CC32F9">
        <w:rPr>
          <w:rFonts w:hAnsi="宋体" w:cs="Times New Roman" w:hint="eastAsia"/>
          <w:kern w:val="2"/>
          <w:sz w:val="24"/>
        </w:rPr>
        <w:t>报告期内，审计委员会依据《上海证券交易所上市公司自律监管指引》等法律法规及公司《董事会审计委员工作细则》相关规定，恪尽职守、勤勉务实地履行了职责。</w:t>
      </w:r>
    </w:p>
    <w:p w14:paraId="0C3653F1" w14:textId="77777777" w:rsidR="00A31516" w:rsidRPr="00CC32F9" w:rsidRDefault="00A31516" w:rsidP="00CC32F9">
      <w:pPr>
        <w:widowControl w:val="0"/>
        <w:tabs>
          <w:tab w:val="left" w:pos="1080"/>
        </w:tabs>
        <w:spacing w:line="500" w:lineRule="exact"/>
        <w:ind w:firstLine="200"/>
        <w:jc w:val="both"/>
        <w:rPr>
          <w:rFonts w:hAnsi="宋体" w:cs="Times New Roman" w:hint="eastAsia"/>
          <w:kern w:val="2"/>
          <w:sz w:val="24"/>
        </w:rPr>
      </w:pPr>
    </w:p>
    <w:p w14:paraId="1B3F00B9" w14:textId="77777777" w:rsidR="00A31516" w:rsidRPr="00CC32F9" w:rsidRDefault="00A31516" w:rsidP="00CC32F9">
      <w:pPr>
        <w:widowControl w:val="0"/>
        <w:tabs>
          <w:tab w:val="left" w:pos="1080"/>
        </w:tabs>
        <w:spacing w:line="500" w:lineRule="exact"/>
        <w:ind w:firstLineChars="200" w:firstLine="480"/>
        <w:jc w:val="both"/>
        <w:rPr>
          <w:rFonts w:hAnsi="宋体" w:cs="Times New Roman" w:hint="eastAsia"/>
          <w:kern w:val="2"/>
          <w:sz w:val="24"/>
        </w:rPr>
      </w:pPr>
    </w:p>
    <w:p w14:paraId="5B0B6736" w14:textId="77777777" w:rsidR="00A31516" w:rsidRPr="00CC32F9" w:rsidRDefault="00000000" w:rsidP="00CC32F9">
      <w:pPr>
        <w:widowControl w:val="0"/>
        <w:tabs>
          <w:tab w:val="left" w:pos="1080"/>
        </w:tabs>
        <w:spacing w:line="500" w:lineRule="exact"/>
        <w:ind w:firstLineChars="200" w:firstLine="480"/>
        <w:jc w:val="right"/>
        <w:rPr>
          <w:rFonts w:hAnsi="宋体" w:cs="Times New Roman" w:hint="eastAsia"/>
          <w:kern w:val="2"/>
          <w:sz w:val="24"/>
        </w:rPr>
      </w:pPr>
      <w:r w:rsidRPr="00CC32F9">
        <w:rPr>
          <w:rFonts w:hAnsi="宋体" w:cs="Times New Roman" w:hint="eastAsia"/>
          <w:kern w:val="2"/>
          <w:sz w:val="24"/>
        </w:rPr>
        <w:t>北京京城股份有限公司董事会</w:t>
      </w:r>
    </w:p>
    <w:p w14:paraId="5F8370AF" w14:textId="77777777" w:rsidR="00A31516" w:rsidRPr="00CC32F9" w:rsidRDefault="00000000" w:rsidP="00CC32F9">
      <w:pPr>
        <w:widowControl w:val="0"/>
        <w:tabs>
          <w:tab w:val="left" w:pos="1080"/>
        </w:tabs>
        <w:spacing w:line="500" w:lineRule="exact"/>
        <w:ind w:right="720" w:firstLineChars="200" w:firstLine="480"/>
        <w:jc w:val="right"/>
        <w:rPr>
          <w:rFonts w:hAnsi="宋体" w:cs="Times New Roman" w:hint="eastAsia"/>
          <w:kern w:val="2"/>
          <w:sz w:val="24"/>
        </w:rPr>
      </w:pPr>
      <w:r w:rsidRPr="00CC32F9">
        <w:rPr>
          <w:rFonts w:hAnsi="宋体" w:cs="Times New Roman" w:hint="eastAsia"/>
          <w:kern w:val="2"/>
          <w:sz w:val="24"/>
        </w:rPr>
        <w:t>审计委员会</w:t>
      </w:r>
    </w:p>
    <w:p w14:paraId="5086E342" w14:textId="2D2CB19E" w:rsidR="00A31516" w:rsidRPr="00CC32F9" w:rsidRDefault="00000000" w:rsidP="00CC32F9">
      <w:pPr>
        <w:widowControl w:val="0"/>
        <w:tabs>
          <w:tab w:val="left" w:pos="1080"/>
        </w:tabs>
        <w:spacing w:line="500" w:lineRule="exact"/>
        <w:ind w:right="240" w:firstLineChars="200" w:firstLine="480"/>
        <w:jc w:val="right"/>
        <w:rPr>
          <w:rFonts w:hAnsi="宋体" w:cs="Times New Roman" w:hint="eastAsia"/>
          <w:kern w:val="2"/>
          <w:sz w:val="24"/>
        </w:rPr>
        <w:sectPr w:rsidR="00A31516" w:rsidRPr="00CC32F9">
          <w:footerReference w:type="default" r:id="rId6"/>
          <w:pgSz w:w="11906" w:h="16838"/>
          <w:pgMar w:top="1797" w:right="1418" w:bottom="1797" w:left="1418" w:header="851" w:footer="992" w:gutter="0"/>
          <w:cols w:space="720"/>
          <w:docGrid w:type="lines" w:linePitch="312"/>
        </w:sectPr>
      </w:pPr>
      <w:r w:rsidRPr="00CC32F9">
        <w:rPr>
          <w:rFonts w:hAnsi="宋体" w:cs="Times New Roman" w:hint="eastAsia"/>
          <w:kern w:val="2"/>
          <w:sz w:val="24"/>
        </w:rPr>
        <w:t>2025年3月</w:t>
      </w:r>
      <w:r w:rsidR="00CC32F9">
        <w:rPr>
          <w:rFonts w:hAnsi="宋体" w:cs="Times New Roman" w:hint="eastAsia"/>
          <w:kern w:val="2"/>
          <w:sz w:val="24"/>
        </w:rPr>
        <w:t>28</w:t>
      </w:r>
      <w:r w:rsidRPr="00CC32F9">
        <w:rPr>
          <w:rFonts w:hAnsi="宋体" w:cs="Times New Roman" w:hint="eastAsia"/>
          <w:kern w:val="2"/>
          <w:sz w:val="24"/>
        </w:rPr>
        <w:t>日</w:t>
      </w:r>
    </w:p>
    <w:p w14:paraId="61C93437" w14:textId="77777777" w:rsidR="00A31516" w:rsidRPr="00CC32F9" w:rsidRDefault="00A31516">
      <w:pPr>
        <w:widowControl w:val="0"/>
        <w:spacing w:line="520" w:lineRule="exact"/>
        <w:ind w:firstLine="200"/>
        <w:jc w:val="both"/>
        <w:rPr>
          <w:rFonts w:hAnsi="宋体" w:cs="Times New Roman" w:hint="eastAsia"/>
          <w:kern w:val="2"/>
          <w:sz w:val="24"/>
        </w:rPr>
      </w:pPr>
    </w:p>
    <w:p w14:paraId="7EE508A1" w14:textId="77777777" w:rsidR="00A31516" w:rsidRPr="00CC32F9" w:rsidRDefault="00000000">
      <w:pPr>
        <w:widowControl w:val="0"/>
        <w:spacing w:line="520" w:lineRule="exact"/>
        <w:ind w:firstLineChars="200" w:firstLine="480"/>
        <w:jc w:val="center"/>
        <w:rPr>
          <w:rFonts w:hAnsi="宋体" w:cs="Times New Roman" w:hint="eastAsia"/>
          <w:kern w:val="2"/>
          <w:sz w:val="24"/>
        </w:rPr>
      </w:pPr>
      <w:r w:rsidRPr="00CC32F9">
        <w:rPr>
          <w:rFonts w:hAnsi="宋体" w:cs="Times New Roman" w:hint="eastAsia"/>
          <w:kern w:val="2"/>
          <w:sz w:val="24"/>
        </w:rPr>
        <w:t>审计委员会成员名单及会议出席情况</w:t>
      </w:r>
    </w:p>
    <w:tbl>
      <w:tblPr>
        <w:tblpPr w:leftFromText="180" w:rightFromText="180" w:vertAnchor="text" w:horzAnchor="page" w:tblpX="1804" w:tblpY="87"/>
        <w:tblOverlap w:val="never"/>
        <w:tblW w:w="8550"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ayout w:type="fixed"/>
        <w:tblLook w:val="04A0" w:firstRow="1" w:lastRow="0" w:firstColumn="1" w:lastColumn="0" w:noHBand="0" w:noVBand="1"/>
      </w:tblPr>
      <w:tblGrid>
        <w:gridCol w:w="2376"/>
        <w:gridCol w:w="2268"/>
        <w:gridCol w:w="1980"/>
        <w:gridCol w:w="1926"/>
      </w:tblGrid>
      <w:tr w:rsidR="00A31516" w:rsidRPr="00CC32F9" w14:paraId="634D6863" w14:textId="77777777">
        <w:tc>
          <w:tcPr>
            <w:tcW w:w="2376" w:type="dxa"/>
            <w:tcBorders>
              <w:top w:val="single" w:sz="12" w:space="0" w:color="000000"/>
              <w:left w:val="single" w:sz="12" w:space="0" w:color="000000"/>
              <w:bottom w:val="single" w:sz="2" w:space="0" w:color="000000"/>
              <w:right w:val="single" w:sz="2" w:space="0" w:color="000000"/>
            </w:tcBorders>
            <w:shd w:val="clear" w:color="auto" w:fill="auto"/>
            <w:vAlign w:val="center"/>
          </w:tcPr>
          <w:p w14:paraId="338902D9"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姓名</w:t>
            </w:r>
          </w:p>
        </w:tc>
        <w:tc>
          <w:tcPr>
            <w:tcW w:w="2268" w:type="dxa"/>
            <w:tcBorders>
              <w:top w:val="single" w:sz="12" w:space="0" w:color="000000"/>
              <w:left w:val="single" w:sz="2" w:space="0" w:color="000000"/>
              <w:bottom w:val="single" w:sz="2" w:space="0" w:color="000000"/>
              <w:right w:val="single" w:sz="2" w:space="0" w:color="000000"/>
            </w:tcBorders>
            <w:shd w:val="clear" w:color="auto" w:fill="auto"/>
            <w:vAlign w:val="center"/>
          </w:tcPr>
          <w:p w14:paraId="2A3F0A23"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职务</w:t>
            </w:r>
          </w:p>
        </w:tc>
        <w:tc>
          <w:tcPr>
            <w:tcW w:w="1980" w:type="dxa"/>
            <w:tcBorders>
              <w:top w:val="single" w:sz="12" w:space="0" w:color="000000"/>
              <w:left w:val="single" w:sz="2" w:space="0" w:color="000000"/>
              <w:bottom w:val="single" w:sz="2" w:space="0" w:color="000000"/>
              <w:right w:val="single" w:sz="2" w:space="0" w:color="000000"/>
            </w:tcBorders>
            <w:shd w:val="clear" w:color="auto" w:fill="auto"/>
            <w:vAlign w:val="center"/>
          </w:tcPr>
          <w:p w14:paraId="4F74A93F"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2024年应出</w:t>
            </w:r>
          </w:p>
          <w:p w14:paraId="498DA922"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席会议次数</w:t>
            </w:r>
          </w:p>
        </w:tc>
        <w:tc>
          <w:tcPr>
            <w:tcW w:w="1926" w:type="dxa"/>
            <w:tcBorders>
              <w:top w:val="single" w:sz="12" w:space="0" w:color="000000"/>
              <w:left w:val="single" w:sz="2" w:space="0" w:color="000000"/>
              <w:bottom w:val="single" w:sz="2" w:space="0" w:color="000000"/>
              <w:right w:val="single" w:sz="12" w:space="0" w:color="000000"/>
            </w:tcBorders>
            <w:shd w:val="clear" w:color="auto" w:fill="auto"/>
            <w:vAlign w:val="center"/>
          </w:tcPr>
          <w:p w14:paraId="5A9E4F9F"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实际出席</w:t>
            </w:r>
          </w:p>
          <w:p w14:paraId="0661718A"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会议次数</w:t>
            </w:r>
          </w:p>
        </w:tc>
      </w:tr>
      <w:tr w:rsidR="00A31516" w:rsidRPr="00CC32F9" w14:paraId="7A263A30" w14:textId="77777777">
        <w:tc>
          <w:tcPr>
            <w:tcW w:w="2376" w:type="dxa"/>
            <w:tcBorders>
              <w:top w:val="single" w:sz="2" w:space="0" w:color="000000"/>
              <w:left w:val="single" w:sz="12" w:space="0" w:color="000000"/>
              <w:bottom w:val="single" w:sz="2" w:space="0" w:color="000000"/>
              <w:right w:val="single" w:sz="2" w:space="0" w:color="000000"/>
            </w:tcBorders>
            <w:vAlign w:val="center"/>
          </w:tcPr>
          <w:p w14:paraId="2BAA9314"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独立非执行董事陈均平</w:t>
            </w:r>
          </w:p>
        </w:tc>
        <w:tc>
          <w:tcPr>
            <w:tcW w:w="2268" w:type="dxa"/>
            <w:tcBorders>
              <w:top w:val="single" w:sz="2" w:space="0" w:color="000000"/>
              <w:left w:val="single" w:sz="2" w:space="0" w:color="000000"/>
              <w:bottom w:val="single" w:sz="2" w:space="0" w:color="000000"/>
              <w:right w:val="single" w:sz="2" w:space="0" w:color="000000"/>
            </w:tcBorders>
            <w:vAlign w:val="center"/>
          </w:tcPr>
          <w:p w14:paraId="49D93C6F"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主任委员</w:t>
            </w:r>
          </w:p>
        </w:tc>
        <w:tc>
          <w:tcPr>
            <w:tcW w:w="1980" w:type="dxa"/>
            <w:tcBorders>
              <w:top w:val="single" w:sz="2" w:space="0" w:color="000000"/>
              <w:left w:val="single" w:sz="2" w:space="0" w:color="000000"/>
              <w:bottom w:val="single" w:sz="2" w:space="0" w:color="000000"/>
              <w:right w:val="single" w:sz="2" w:space="0" w:color="000000"/>
            </w:tcBorders>
            <w:vAlign w:val="center"/>
          </w:tcPr>
          <w:p w14:paraId="2DF043D2"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12</w:t>
            </w:r>
          </w:p>
        </w:tc>
        <w:tc>
          <w:tcPr>
            <w:tcW w:w="1926" w:type="dxa"/>
            <w:tcBorders>
              <w:top w:val="single" w:sz="2" w:space="0" w:color="000000"/>
              <w:left w:val="single" w:sz="2" w:space="0" w:color="000000"/>
              <w:bottom w:val="single" w:sz="2" w:space="0" w:color="000000"/>
              <w:right w:val="single" w:sz="12" w:space="0" w:color="000000"/>
            </w:tcBorders>
            <w:vAlign w:val="center"/>
          </w:tcPr>
          <w:p w14:paraId="75668C6D"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12</w:t>
            </w:r>
          </w:p>
        </w:tc>
      </w:tr>
      <w:tr w:rsidR="00A31516" w:rsidRPr="00CC32F9" w14:paraId="1C4B08E3" w14:textId="77777777">
        <w:tc>
          <w:tcPr>
            <w:tcW w:w="2376" w:type="dxa"/>
            <w:tcBorders>
              <w:top w:val="single" w:sz="2" w:space="0" w:color="000000"/>
              <w:left w:val="single" w:sz="12" w:space="0" w:color="000000"/>
              <w:bottom w:val="single" w:sz="2" w:space="0" w:color="000000"/>
              <w:right w:val="single" w:sz="2" w:space="0" w:color="000000"/>
            </w:tcBorders>
            <w:vAlign w:val="center"/>
          </w:tcPr>
          <w:p w14:paraId="279348BD"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独立非执行董事赵旭光</w:t>
            </w:r>
          </w:p>
        </w:tc>
        <w:tc>
          <w:tcPr>
            <w:tcW w:w="2268" w:type="dxa"/>
            <w:tcBorders>
              <w:top w:val="single" w:sz="2" w:space="0" w:color="000000"/>
              <w:left w:val="single" w:sz="2" w:space="0" w:color="000000"/>
              <w:bottom w:val="single" w:sz="2" w:space="0" w:color="000000"/>
              <w:right w:val="single" w:sz="2" w:space="0" w:color="000000"/>
            </w:tcBorders>
            <w:vAlign w:val="center"/>
          </w:tcPr>
          <w:p w14:paraId="585A3388"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委员</w:t>
            </w:r>
          </w:p>
        </w:tc>
        <w:tc>
          <w:tcPr>
            <w:tcW w:w="1980" w:type="dxa"/>
            <w:tcBorders>
              <w:top w:val="single" w:sz="2" w:space="0" w:color="000000"/>
              <w:left w:val="single" w:sz="2" w:space="0" w:color="000000"/>
              <w:bottom w:val="single" w:sz="2" w:space="0" w:color="000000"/>
              <w:right w:val="single" w:sz="2" w:space="0" w:color="000000"/>
            </w:tcBorders>
            <w:vAlign w:val="center"/>
          </w:tcPr>
          <w:p w14:paraId="1777BD14"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12</w:t>
            </w:r>
          </w:p>
        </w:tc>
        <w:tc>
          <w:tcPr>
            <w:tcW w:w="1926" w:type="dxa"/>
            <w:tcBorders>
              <w:top w:val="single" w:sz="2" w:space="0" w:color="000000"/>
              <w:left w:val="single" w:sz="2" w:space="0" w:color="000000"/>
              <w:bottom w:val="single" w:sz="2" w:space="0" w:color="000000"/>
              <w:right w:val="single" w:sz="12" w:space="0" w:color="000000"/>
            </w:tcBorders>
            <w:vAlign w:val="center"/>
          </w:tcPr>
          <w:p w14:paraId="679D657B"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12</w:t>
            </w:r>
          </w:p>
        </w:tc>
      </w:tr>
      <w:tr w:rsidR="00A31516" w:rsidRPr="00CC32F9" w14:paraId="42648FE3" w14:textId="77777777">
        <w:tc>
          <w:tcPr>
            <w:tcW w:w="2376" w:type="dxa"/>
            <w:tcBorders>
              <w:top w:val="single" w:sz="2" w:space="0" w:color="000000"/>
              <w:left w:val="single" w:sz="12" w:space="0" w:color="000000"/>
              <w:bottom w:val="single" w:sz="12" w:space="0" w:color="000000"/>
              <w:right w:val="single" w:sz="2" w:space="0" w:color="000000"/>
            </w:tcBorders>
            <w:vAlign w:val="center"/>
          </w:tcPr>
          <w:p w14:paraId="05A0A0D8"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非执行董事</w:t>
            </w:r>
          </w:p>
          <w:p w14:paraId="7E4730AB"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满会勇</w:t>
            </w:r>
          </w:p>
        </w:tc>
        <w:tc>
          <w:tcPr>
            <w:tcW w:w="2268" w:type="dxa"/>
            <w:tcBorders>
              <w:top w:val="single" w:sz="2" w:space="0" w:color="000000"/>
              <w:left w:val="single" w:sz="2" w:space="0" w:color="000000"/>
              <w:bottom w:val="single" w:sz="12" w:space="0" w:color="000000"/>
              <w:right w:val="single" w:sz="2" w:space="0" w:color="000000"/>
            </w:tcBorders>
            <w:vAlign w:val="center"/>
          </w:tcPr>
          <w:p w14:paraId="0C2304CA"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委员</w:t>
            </w:r>
          </w:p>
        </w:tc>
        <w:tc>
          <w:tcPr>
            <w:tcW w:w="1980" w:type="dxa"/>
            <w:tcBorders>
              <w:top w:val="single" w:sz="2" w:space="0" w:color="000000"/>
              <w:left w:val="single" w:sz="2" w:space="0" w:color="000000"/>
              <w:bottom w:val="single" w:sz="12" w:space="0" w:color="000000"/>
              <w:right w:val="single" w:sz="2" w:space="0" w:color="000000"/>
            </w:tcBorders>
            <w:vAlign w:val="center"/>
          </w:tcPr>
          <w:p w14:paraId="367B65D1"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12</w:t>
            </w:r>
          </w:p>
        </w:tc>
        <w:tc>
          <w:tcPr>
            <w:tcW w:w="1926" w:type="dxa"/>
            <w:tcBorders>
              <w:top w:val="single" w:sz="2" w:space="0" w:color="000000"/>
              <w:left w:val="single" w:sz="2" w:space="0" w:color="000000"/>
              <w:bottom w:val="single" w:sz="12" w:space="0" w:color="000000"/>
              <w:right w:val="single" w:sz="12" w:space="0" w:color="000000"/>
            </w:tcBorders>
            <w:vAlign w:val="center"/>
          </w:tcPr>
          <w:p w14:paraId="36FDD1C0" w14:textId="77777777" w:rsidR="00A31516" w:rsidRPr="00CC32F9" w:rsidRDefault="00000000">
            <w:pPr>
              <w:widowControl w:val="0"/>
              <w:spacing w:line="520" w:lineRule="exact"/>
              <w:ind w:firstLine="200"/>
              <w:jc w:val="center"/>
              <w:rPr>
                <w:rFonts w:hAnsi="宋体" w:cs="Times New Roman" w:hint="eastAsia"/>
                <w:kern w:val="2"/>
                <w:sz w:val="24"/>
              </w:rPr>
            </w:pPr>
            <w:r w:rsidRPr="00CC32F9">
              <w:rPr>
                <w:rFonts w:hAnsi="宋体" w:cs="Times New Roman" w:hint="eastAsia"/>
                <w:kern w:val="2"/>
                <w:sz w:val="24"/>
              </w:rPr>
              <w:t>12</w:t>
            </w:r>
          </w:p>
        </w:tc>
      </w:tr>
    </w:tbl>
    <w:p w14:paraId="26F0C8D7" w14:textId="77777777" w:rsidR="00A31516" w:rsidRPr="00CC32F9" w:rsidRDefault="00A31516">
      <w:pPr>
        <w:widowControl w:val="0"/>
        <w:spacing w:line="520" w:lineRule="exact"/>
        <w:ind w:firstLineChars="200" w:firstLine="480"/>
        <w:jc w:val="both"/>
        <w:rPr>
          <w:rFonts w:hAnsi="宋体" w:cs="Times New Roman" w:hint="eastAsia"/>
          <w:kern w:val="2"/>
          <w:sz w:val="24"/>
        </w:rPr>
      </w:pPr>
    </w:p>
    <w:p w14:paraId="7E559D9E" w14:textId="77777777" w:rsidR="00A31516" w:rsidRPr="00CC32F9" w:rsidRDefault="00A31516">
      <w:pPr>
        <w:spacing w:line="520" w:lineRule="exact"/>
        <w:ind w:firstLine="200"/>
        <w:jc w:val="both"/>
        <w:rPr>
          <w:rFonts w:hAnsi="宋体" w:hint="eastAsia"/>
          <w:sz w:val="24"/>
        </w:rPr>
      </w:pPr>
    </w:p>
    <w:sectPr w:rsidR="00A31516" w:rsidRPr="00CC32F9">
      <w:pgSz w:w="11906" w:h="16838"/>
      <w:pgMar w:top="1797" w:right="1418" w:bottom="1797"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AB691" w14:textId="77777777" w:rsidR="00032034" w:rsidRDefault="00032034">
      <w:r>
        <w:separator/>
      </w:r>
    </w:p>
  </w:endnote>
  <w:endnote w:type="continuationSeparator" w:id="0">
    <w:p w14:paraId="3454766F" w14:textId="77777777" w:rsidR="00032034" w:rsidRDefault="00032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EastAsia" w:eastAsiaTheme="minorEastAsia" w:hAnsiTheme="minorEastAsia"/>
        <w:sz w:val="28"/>
        <w:szCs w:val="28"/>
      </w:rPr>
      <w:id w:val="220948589"/>
    </w:sdtPr>
    <w:sdtContent>
      <w:sdt>
        <w:sdtPr>
          <w:rPr>
            <w:rFonts w:asciiTheme="minorEastAsia" w:eastAsiaTheme="minorEastAsia" w:hAnsiTheme="minorEastAsia"/>
            <w:sz w:val="28"/>
            <w:szCs w:val="28"/>
          </w:rPr>
          <w:id w:val="-1669238322"/>
        </w:sdtPr>
        <w:sdtContent>
          <w:p w14:paraId="7A379F6F" w14:textId="77777777" w:rsidR="00A31516" w:rsidRDefault="00000000">
            <w:pPr>
              <w:pStyle w:val="a5"/>
              <w:jc w:val="center"/>
              <w:rPr>
                <w:rFonts w:asciiTheme="minorEastAsia" w:eastAsiaTheme="minorEastAsia" w:hAnsiTheme="minorEastAsia" w:hint="eastAsia"/>
                <w:sz w:val="28"/>
                <w:szCs w:val="28"/>
              </w:rPr>
            </w:pPr>
            <w:r w:rsidRPr="00AE3017">
              <w:rPr>
                <w:rFonts w:asciiTheme="minorEastAsia" w:eastAsiaTheme="minorEastAsia" w:hAnsiTheme="minorEastAsia"/>
                <w:sz w:val="21"/>
                <w:szCs w:val="28"/>
                <w:lang w:val="zh-CN"/>
              </w:rPr>
              <w:t xml:space="preserve"> </w:t>
            </w:r>
            <w:r w:rsidRPr="00AE3017">
              <w:rPr>
                <w:rFonts w:asciiTheme="minorEastAsia" w:eastAsiaTheme="minorEastAsia" w:hAnsiTheme="minorEastAsia"/>
                <w:bCs/>
                <w:sz w:val="21"/>
                <w:szCs w:val="28"/>
              </w:rPr>
              <w:fldChar w:fldCharType="begin"/>
            </w:r>
            <w:r w:rsidRPr="00AE3017">
              <w:rPr>
                <w:rFonts w:asciiTheme="minorEastAsia" w:eastAsiaTheme="minorEastAsia" w:hAnsiTheme="minorEastAsia"/>
                <w:bCs/>
                <w:sz w:val="21"/>
                <w:szCs w:val="28"/>
              </w:rPr>
              <w:instrText>PAGE</w:instrText>
            </w:r>
            <w:r w:rsidRPr="00AE3017">
              <w:rPr>
                <w:rFonts w:asciiTheme="minorEastAsia" w:eastAsiaTheme="minorEastAsia" w:hAnsiTheme="minorEastAsia"/>
                <w:bCs/>
                <w:sz w:val="21"/>
                <w:szCs w:val="28"/>
              </w:rPr>
              <w:fldChar w:fldCharType="separate"/>
            </w:r>
            <w:r w:rsidRPr="00AE3017">
              <w:rPr>
                <w:rFonts w:asciiTheme="minorEastAsia" w:eastAsiaTheme="minorEastAsia" w:hAnsiTheme="minorEastAsia"/>
                <w:bCs/>
                <w:sz w:val="21"/>
                <w:szCs w:val="28"/>
              </w:rPr>
              <w:t>1</w:t>
            </w:r>
            <w:r w:rsidRPr="00AE3017">
              <w:rPr>
                <w:rFonts w:asciiTheme="minorEastAsia" w:eastAsiaTheme="minorEastAsia" w:hAnsiTheme="minorEastAsia"/>
                <w:bCs/>
                <w:sz w:val="21"/>
                <w:szCs w:val="28"/>
              </w:rPr>
              <w:fldChar w:fldCharType="end"/>
            </w:r>
            <w:r w:rsidRPr="00AE3017">
              <w:rPr>
                <w:rFonts w:asciiTheme="minorEastAsia" w:eastAsiaTheme="minorEastAsia" w:hAnsiTheme="minorEastAsia"/>
                <w:sz w:val="21"/>
                <w:szCs w:val="28"/>
                <w:lang w:val="zh-CN"/>
              </w:rPr>
              <w:t xml:space="preserve"> / </w:t>
            </w:r>
            <w:r w:rsidRPr="00AE3017">
              <w:rPr>
                <w:rFonts w:asciiTheme="minorEastAsia" w:eastAsiaTheme="minorEastAsia" w:hAnsiTheme="minorEastAsia"/>
                <w:bCs/>
                <w:sz w:val="21"/>
                <w:szCs w:val="28"/>
              </w:rPr>
              <w:fldChar w:fldCharType="begin"/>
            </w:r>
            <w:r w:rsidRPr="00AE3017">
              <w:rPr>
                <w:rFonts w:asciiTheme="minorEastAsia" w:eastAsiaTheme="minorEastAsia" w:hAnsiTheme="minorEastAsia"/>
                <w:bCs/>
                <w:sz w:val="21"/>
                <w:szCs w:val="28"/>
              </w:rPr>
              <w:instrText>NUMPAGES</w:instrText>
            </w:r>
            <w:r w:rsidRPr="00AE3017">
              <w:rPr>
                <w:rFonts w:asciiTheme="minorEastAsia" w:eastAsiaTheme="minorEastAsia" w:hAnsiTheme="minorEastAsia"/>
                <w:bCs/>
                <w:sz w:val="21"/>
                <w:szCs w:val="28"/>
              </w:rPr>
              <w:fldChar w:fldCharType="separate"/>
            </w:r>
            <w:r w:rsidRPr="00AE3017">
              <w:rPr>
                <w:rFonts w:asciiTheme="minorEastAsia" w:eastAsiaTheme="minorEastAsia" w:hAnsiTheme="minorEastAsia"/>
                <w:bCs/>
                <w:sz w:val="21"/>
                <w:szCs w:val="28"/>
              </w:rPr>
              <w:t>7</w:t>
            </w:r>
            <w:r w:rsidRPr="00AE3017">
              <w:rPr>
                <w:rFonts w:asciiTheme="minorEastAsia" w:eastAsiaTheme="minorEastAsia" w:hAnsiTheme="minorEastAsia"/>
                <w:bCs/>
                <w:sz w:val="21"/>
                <w:szCs w:val="2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27B81" w14:textId="77777777" w:rsidR="00032034" w:rsidRDefault="00032034">
      <w:r>
        <w:separator/>
      </w:r>
    </w:p>
  </w:footnote>
  <w:footnote w:type="continuationSeparator" w:id="0">
    <w:p w14:paraId="44B3E45C" w14:textId="77777777" w:rsidR="00032034" w:rsidRDefault="000320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ulTrailSpace/>
    <w:doNotExpandShiftReturn/>
    <w:adjustLineHeightInTable/>
    <w:doNotWrapTextWithPunct/>
    <w:doNotUseEastAsianBreakRules/>
    <w:growAutofit/>
    <w:useFELayout/>
    <w:doNotUseIndentAsNumberingTabStop/>
    <w:compatSetting w:name="compatibilityMode" w:uri="http://schemas.microsoft.com/office/word" w:val="14"/>
    <w:compatSetting w:name="useWord2013TrackBottomHyphenation" w:uri="http://schemas.microsoft.com/office/word" w:val="1"/>
  </w:compat>
  <w:docVars>
    <w:docVar w:name="commondata" w:val="eyJoZGlkIjoiODVhMjdiZGZmMWVhYjQwMGQ3YTY5NDYxM2I1MDYxM2MifQ=="/>
    <w:docVar w:name="KSO_WPS_MARK_KEY" w:val="fb69ed0e-2778-494b-9d71-b838b445f606"/>
  </w:docVars>
  <w:rsids>
    <w:rsidRoot w:val="009E142F"/>
    <w:rsid w:val="00012187"/>
    <w:rsid w:val="00032034"/>
    <w:rsid w:val="0012465E"/>
    <w:rsid w:val="001C0F65"/>
    <w:rsid w:val="002578A9"/>
    <w:rsid w:val="00260CDC"/>
    <w:rsid w:val="00274558"/>
    <w:rsid w:val="002B5472"/>
    <w:rsid w:val="002F27E5"/>
    <w:rsid w:val="003E68AB"/>
    <w:rsid w:val="0046023F"/>
    <w:rsid w:val="0048318C"/>
    <w:rsid w:val="00483513"/>
    <w:rsid w:val="004E7A8B"/>
    <w:rsid w:val="00503D8E"/>
    <w:rsid w:val="00544C6E"/>
    <w:rsid w:val="005B1283"/>
    <w:rsid w:val="005E22FC"/>
    <w:rsid w:val="006F3B6B"/>
    <w:rsid w:val="006F4030"/>
    <w:rsid w:val="00774136"/>
    <w:rsid w:val="00794CDA"/>
    <w:rsid w:val="007D18C6"/>
    <w:rsid w:val="00833248"/>
    <w:rsid w:val="008C19CF"/>
    <w:rsid w:val="0094510C"/>
    <w:rsid w:val="00964398"/>
    <w:rsid w:val="00991655"/>
    <w:rsid w:val="009E142F"/>
    <w:rsid w:val="009F2C66"/>
    <w:rsid w:val="00A31516"/>
    <w:rsid w:val="00AA7043"/>
    <w:rsid w:val="00AB1D08"/>
    <w:rsid w:val="00AE3017"/>
    <w:rsid w:val="00B1323C"/>
    <w:rsid w:val="00B5227F"/>
    <w:rsid w:val="00BB19F9"/>
    <w:rsid w:val="00BC6F56"/>
    <w:rsid w:val="00BE53EB"/>
    <w:rsid w:val="00C055CB"/>
    <w:rsid w:val="00C63082"/>
    <w:rsid w:val="00C67203"/>
    <w:rsid w:val="00CC32F9"/>
    <w:rsid w:val="00D160D6"/>
    <w:rsid w:val="00D91C4D"/>
    <w:rsid w:val="00DA4E8E"/>
    <w:rsid w:val="00E87405"/>
    <w:rsid w:val="00EC6768"/>
    <w:rsid w:val="00EF0241"/>
    <w:rsid w:val="00F160A1"/>
    <w:rsid w:val="00F60F0D"/>
    <w:rsid w:val="00FF09B4"/>
    <w:rsid w:val="1A204BC7"/>
    <w:rsid w:val="2C882C80"/>
    <w:rsid w:val="391A75AE"/>
    <w:rsid w:val="40466C75"/>
    <w:rsid w:val="4B8B7843"/>
    <w:rsid w:val="4DE66089"/>
    <w:rsid w:val="4DF067FB"/>
    <w:rsid w:val="6B784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E9488"/>
  <w15:docId w15:val="{B0ACBF02-FFB9-4536-95FD-4063D11E1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cs="宋体"/>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alloon Text"/>
    <w:basedOn w:val="a"/>
    <w:qFormat/>
    <w:rPr>
      <w:sz w:val="18"/>
      <w:szCs w:val="18"/>
    </w:rPr>
  </w:style>
  <w:style w:type="paragraph" w:styleId="a5">
    <w:name w:val="footer"/>
    <w:basedOn w:val="a"/>
    <w:link w:val="a6"/>
    <w:uiPriority w:val="99"/>
    <w:qFormat/>
    <w:pPr>
      <w:widowControl w:val="0"/>
      <w:tabs>
        <w:tab w:val="center" w:pos="4153"/>
        <w:tab w:val="right" w:pos="8306"/>
      </w:tabs>
      <w:snapToGrid w:val="0"/>
    </w:pPr>
    <w:rPr>
      <w:rFonts w:ascii="Calibri" w:hAnsi="Calibri" w:cs="Arial"/>
      <w:kern w:val="2"/>
      <w:sz w:val="18"/>
      <w:szCs w:val="18"/>
    </w:rPr>
  </w:style>
  <w:style w:type="paragraph" w:styleId="a7">
    <w:name w:val="header"/>
    <w:basedOn w:val="a"/>
    <w:qFormat/>
    <w:pPr>
      <w:widowControl w:val="0"/>
      <w:pBdr>
        <w:bottom w:val="single" w:sz="6" w:space="1" w:color="auto"/>
      </w:pBdr>
      <w:tabs>
        <w:tab w:val="center" w:pos="4153"/>
        <w:tab w:val="right" w:pos="8306"/>
      </w:tabs>
      <w:snapToGrid w:val="0"/>
      <w:jc w:val="center"/>
    </w:pPr>
    <w:rPr>
      <w:rFonts w:ascii="Calibri" w:hAnsi="Calibri" w:cs="Arial"/>
      <w:kern w:val="2"/>
      <w:sz w:val="18"/>
      <w:szCs w:val="18"/>
    </w:rPr>
  </w:style>
  <w:style w:type="paragraph" w:styleId="a8">
    <w:name w:val="annotation subject"/>
    <w:basedOn w:val="a3"/>
    <w:next w:val="a3"/>
    <w:qFormat/>
    <w:rPr>
      <w:b/>
      <w:bCs/>
    </w:rPr>
  </w:style>
  <w:style w:type="character" w:styleId="a9">
    <w:name w:val="annotation reference"/>
    <w:basedOn w:val="a0"/>
    <w:qFormat/>
    <w:rPr>
      <w:sz w:val="21"/>
      <w:szCs w:val="21"/>
    </w:rPr>
  </w:style>
  <w:style w:type="character" w:customStyle="1" w:styleId="a6">
    <w:name w:val="页脚 字符"/>
    <w:basedOn w:val="a0"/>
    <w:link w:val="a5"/>
    <w:uiPriority w:val="99"/>
    <w:qFormat/>
    <w:rPr>
      <w:rFonts w:ascii="Calibri" w:hAnsi="Calibri" w:cs="Arial"/>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482</Words>
  <Characters>2753</Characters>
  <Application>Microsoft Office Word</Application>
  <DocSecurity>0</DocSecurity>
  <Lines>22</Lines>
  <Paragraphs>6</Paragraphs>
  <ScaleCrop>false</ScaleCrop>
  <Company>BTIC</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柳宇</dc:creator>
  <cp:lastModifiedBy>e24628</cp:lastModifiedBy>
  <cp:revision>86</cp:revision>
  <cp:lastPrinted>2022-03-10T06:49:00Z</cp:lastPrinted>
  <dcterms:created xsi:type="dcterms:W3CDTF">2022-03-10T06:46:00Z</dcterms:created>
  <dcterms:modified xsi:type="dcterms:W3CDTF">2025-03-27T07:41:00Z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04BBCAB607F446449CB43B28D9EAD491</vt:lpwstr>
  </property>
</Properties>
</file>